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CD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31D33">
        <w:rPr>
          <w:rFonts w:ascii="Times New Roman" w:hAnsi="Times New Roman" w:cs="Times New Roman"/>
          <w:sz w:val="28"/>
          <w:szCs w:val="28"/>
        </w:rPr>
        <w:t>2</w:t>
      </w: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027802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гарантий </w:t>
      </w:r>
      <w:r w:rsidR="00CC3EDA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F04DC4" w:rsidRPr="00F04DC4" w:rsidRDefault="00F04DC4" w:rsidP="00F04DC4">
      <w:pPr>
        <w:spacing w:line="240" w:lineRule="auto"/>
        <w:ind w:left="567" w:righ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F04DC4" w:rsidRPr="00F04DC4" w:rsidRDefault="00F04DC4" w:rsidP="00F04DC4">
      <w:pPr>
        <w:spacing w:line="240" w:lineRule="auto"/>
        <w:ind w:left="567" w:righ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</w:t>
      </w:r>
      <w:r w:rsidRPr="00F04DC4">
        <w:rPr>
          <w:rFonts w:ascii="Times New Roman" w:hAnsi="Times New Roman" w:cs="Times New Roman"/>
          <w:sz w:val="28"/>
          <w:szCs w:val="28"/>
        </w:rPr>
        <w:t xml:space="preserve"> анализа финансового состояния принципала при</w:t>
      </w:r>
    </w:p>
    <w:p w:rsidR="00F04DC4" w:rsidRDefault="00F04DC4" w:rsidP="00F04DC4">
      <w:pPr>
        <w:spacing w:line="240" w:lineRule="auto"/>
        <w:ind w:left="567" w:right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04DC4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гарантии </w:t>
      </w:r>
      <w:r w:rsidR="00CC3EDA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Pr="00F04DC4">
        <w:rPr>
          <w:rFonts w:ascii="Times New Roman" w:hAnsi="Times New Roman" w:cs="Times New Roman"/>
          <w:sz w:val="28"/>
          <w:szCs w:val="28"/>
        </w:rPr>
        <w:t>, а также мониторинга</w:t>
      </w:r>
      <w:r w:rsidR="00CC3EDA">
        <w:rPr>
          <w:rFonts w:ascii="Times New Roman" w:hAnsi="Times New Roman" w:cs="Times New Roman"/>
          <w:sz w:val="28"/>
          <w:szCs w:val="28"/>
        </w:rPr>
        <w:t xml:space="preserve"> </w:t>
      </w:r>
      <w:r w:rsidRPr="00F04DC4">
        <w:rPr>
          <w:rFonts w:ascii="Times New Roman" w:hAnsi="Times New Roman" w:cs="Times New Roman"/>
          <w:sz w:val="28"/>
          <w:szCs w:val="28"/>
        </w:rPr>
        <w:t>финансового состояния принципала после предоставления муниципальной</w:t>
      </w:r>
      <w:r w:rsidR="00CC3EDA">
        <w:rPr>
          <w:rFonts w:ascii="Times New Roman" w:hAnsi="Times New Roman" w:cs="Times New Roman"/>
          <w:sz w:val="28"/>
          <w:szCs w:val="28"/>
        </w:rPr>
        <w:t xml:space="preserve"> </w:t>
      </w:r>
      <w:r w:rsidRPr="00F04DC4">
        <w:rPr>
          <w:rFonts w:ascii="Times New Roman" w:hAnsi="Times New Roman" w:cs="Times New Roman"/>
          <w:sz w:val="28"/>
          <w:szCs w:val="28"/>
        </w:rPr>
        <w:t xml:space="preserve">гарантии </w:t>
      </w:r>
      <w:r w:rsidR="00CC3EDA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</w:p>
    <w:p w:rsidR="005D392B" w:rsidRDefault="005D392B" w:rsidP="0002780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02CD3" w:rsidRPr="00702CD3" w:rsidRDefault="00702CD3" w:rsidP="00702CD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2CD3">
        <w:rPr>
          <w:rFonts w:ascii="Times New Roman" w:hAnsi="Times New Roman" w:cs="Times New Roman"/>
          <w:sz w:val="28"/>
          <w:szCs w:val="28"/>
        </w:rPr>
        <w:t xml:space="preserve">1. Анализ финансового состояния принципала осуществляется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CC3EDA">
        <w:rPr>
          <w:rFonts w:ascii="Times New Roman" w:hAnsi="Times New Roman" w:cs="Times New Roman"/>
          <w:sz w:val="28"/>
          <w:szCs w:val="28"/>
        </w:rPr>
        <w:t>инансовым отделом</w:t>
      </w:r>
      <w:r w:rsidRPr="00702C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C3EDA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 (далее – Финансовый отдел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02CD3">
        <w:rPr>
          <w:rFonts w:ascii="Times New Roman" w:hAnsi="Times New Roman" w:cs="Times New Roman"/>
          <w:sz w:val="28"/>
          <w:szCs w:val="28"/>
        </w:rPr>
        <w:t xml:space="preserve">на основе анализа документов, представляемых в соответствии с пунктом 3.1.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02CD3">
        <w:rPr>
          <w:rFonts w:ascii="Times New Roman" w:hAnsi="Times New Roman" w:cs="Times New Roman"/>
          <w:sz w:val="28"/>
          <w:szCs w:val="28"/>
        </w:rPr>
        <w:t>орядка</w:t>
      </w:r>
      <w:r w:rsidR="00CC3EDA">
        <w:rPr>
          <w:rFonts w:ascii="Times New Roman" w:hAnsi="Times New Roman" w:cs="Times New Roman"/>
          <w:sz w:val="28"/>
          <w:szCs w:val="28"/>
        </w:rPr>
        <w:t xml:space="preserve"> </w:t>
      </w:r>
      <w:r w:rsidRPr="00027802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гарантий </w:t>
      </w:r>
      <w:r w:rsidR="00CC3EDA">
        <w:rPr>
          <w:rFonts w:ascii="Times New Roman" w:hAnsi="Times New Roman" w:cs="Times New Roman"/>
          <w:sz w:val="28"/>
          <w:szCs w:val="28"/>
        </w:rPr>
        <w:t xml:space="preserve">Первомайского сельского поселения Белореченского района </w:t>
      </w:r>
      <w:r w:rsidR="00810F8A" w:rsidRPr="00810F8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10F8A">
        <w:rPr>
          <w:rFonts w:ascii="Times New Roman" w:hAnsi="Times New Roman" w:cs="Times New Roman"/>
          <w:sz w:val="28"/>
          <w:szCs w:val="28"/>
        </w:rPr>
        <w:t>десяти</w:t>
      </w:r>
      <w:r w:rsidR="00810F8A" w:rsidRPr="00810F8A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C9344E">
        <w:rPr>
          <w:rFonts w:ascii="Times New Roman" w:hAnsi="Times New Roman" w:cs="Times New Roman"/>
          <w:sz w:val="28"/>
          <w:szCs w:val="28"/>
        </w:rPr>
        <w:t>от даты</w:t>
      </w:r>
      <w:r w:rsidR="00CC3EDA">
        <w:rPr>
          <w:rFonts w:ascii="Times New Roman" w:hAnsi="Times New Roman" w:cs="Times New Roman"/>
          <w:sz w:val="28"/>
          <w:szCs w:val="28"/>
        </w:rPr>
        <w:t xml:space="preserve"> </w:t>
      </w:r>
      <w:r w:rsidR="00810F8A">
        <w:rPr>
          <w:rFonts w:ascii="Times New Roman" w:hAnsi="Times New Roman" w:cs="Times New Roman"/>
          <w:sz w:val="28"/>
          <w:szCs w:val="28"/>
        </w:rPr>
        <w:t>поступлени</w:t>
      </w:r>
      <w:r w:rsidR="00CC3EDA">
        <w:rPr>
          <w:rFonts w:ascii="Times New Roman" w:hAnsi="Times New Roman" w:cs="Times New Roman"/>
          <w:sz w:val="28"/>
          <w:szCs w:val="28"/>
        </w:rPr>
        <w:t xml:space="preserve">я данных документов в Финансовый отдел. 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анализа финансового состояния принципала используются три группы базовых финансовых индикаторов, рассчитываемых на основании данных бухгалтерского баланса и отчета о финансовых результатах: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коэффициенты ликвидности;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соотношения собственных и заемных средств;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рентабельности.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Коэффициенты ликвидности.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коэффициентов ликвидности содержит три показателя: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абсолютной ликвидности;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быстрой ликвидности;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текущей ликвидности.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Коэффициент абсолютной ликвидности (K1) рассчитывается по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 формуле: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К1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Ден. средства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1250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 Кр. финан. вложения (1240)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Текущие обязательства (1500 - 1530 - 1540)</m:t>
              </m:r>
            </m:den>
          </m:f>
        </m:oMath>
      </m:oMathPara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Ден. средства (1250) – денежные средства в кассе и на расчётном счете (код строки бухгалтерского баланса 1250);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Кр. фин. вложения (1240) – сумма краткосрочных финансовых вложений (акций, векселей, облигаций, предоставленных займов и т.д.), сформировавшаяся по состоянию на конец отчетного периода (код строки бухгалтерского баланса 1240);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Текущие обязательства (1500 – 1530 - 1540) – краткосрочные финансовые 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обязательства со сроком погашения менее 12 месяцев после отчетной даты. Значение находится как разность итога раздела V бухгалтерского баланса (код строки бухгалтерского баланса 1500), доходов будущих периодов (код строки бухгалтерского баланса 1530) и оценочных обязательств (код строки бухгалтерского баланса 1540).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2.1.2. Коэффициент быстрой ликвидности (К2) характеризует способность оперативно высвободить из хозяйственного оборота денежные средства и погасить существующие финансовые обязательства. Показатель определяется по следующей формуле: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left="-142" w:right="-14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К2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Деб. задолженность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1230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+ Кр. фин. вложения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1240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+Ден. средства (1250)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Текущие обязательства (1500 - 1530 - 1540)</m:t>
              </m:r>
            </m:den>
          </m:f>
        </m:oMath>
      </m:oMathPara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Деб. задолженность (1230) – дебиторская задолженность, погашение которой ожидается в течение года (код строки бухгалтерского баланса 1230);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Кр. фин. вложения (1240) – сумма краткосрочных финансовых вложений (акций, векселей, облигаций, предоставленных займов и т.д.), сформировавшаяся по состоянию на конец отчетного периода (код строки бухгалтерского баланса 1240);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Ден. средства (1250) – денежные средства в кассе и на расчетном счете (код строки бухгалтерского баланса 1250);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Текущие обязательства (1500 – 1530 - 1540) – краткосрочные финансовые обязательства со сроком погашения менее 12 месяцев после отчетной даты. Значение находится как разность итога раздела V бухгалтерского баланса (код строки бухгалтерского баланса строка 1500), доходов будущих периодов (код строки бухгалтерского баланса 1530) и оценочных обязательств (код строки бухгалтерского баланса 1540).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2.1.3. Коэффициент текущей ликвидности (К3) вычисляется по следующей формуле: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К3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Оборотные активы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1200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Краткосрочные обязательства (1500 - 1530)</m:t>
              </m:r>
            </m:den>
          </m:f>
        </m:oMath>
      </m:oMathPara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Оборотные активы (1200) – оборотные активы (код строки бухгалтерского баланса 1200);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Краткосрочные обязательства (1500 - 1530) – краткосрочные финансовые обязательства со сроком погашения менее 12 месяцев после отчетной даты. Значение находится как разность итога раздела V бухгалтерского баланса (код строки бухгалтерского баланса 1500) и доходов будущих периодов (код строки бухгалтерского баланса 1530).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Коэффициент соотношения собственных и заемных средств (К4) определяется по следующей формуле: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К4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Собственный капитал 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1300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Заёмный капитал (1500+ 1400 + 1530)</m:t>
              </m:r>
            </m:den>
          </m:f>
        </m:oMath>
      </m:oMathPara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Собственный капитал (1300) – собственный капитал и резервы (код строки бухгалтерского баланса 1300);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Заёмный капитал (1500 + 1400 - 1530) – финансовые обязательства. Значение находится как сумма краткосрочных и долгосрочных обязательств (коды строк бухгалтерского баланса 1500 и 1400) без учета доходов будущих периодов (код строки бухгалтерского баланса 1530).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Показатель рентабельности (К5) определяется по следующей формуле: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К4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Прибыль от продаж (2200)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Выручка (2110)</m:t>
              </m:r>
            </m:den>
          </m:f>
        </m:oMath>
      </m:oMathPara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Прибыль от продаж (2200) – прибыль от реализации продукции (код строки отчета о финансовых результатах 2200);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Выручка (2110) – выручка (код строки отчета о финансовых результатах 2110).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Построение оценки финансового состояния.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.1. Для каждого базового индикатора устанавливается наилучшее и наихудшее пороговые значения.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На основе полученного значения и пороговых значений для каждого показателя определяется одна из трех категорий. Пороговые значения показателей и правило выбора категории в зависимости от фактических значений показателей содержатся в таблице 1.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1. Пороговые значения показателей и выбор категории в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зависимости от фактических значений показателей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1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1"/>
        <w:gridCol w:w="2751"/>
        <w:gridCol w:w="2543"/>
        <w:gridCol w:w="2645"/>
      </w:tblGrid>
      <w:tr w:rsidR="00702CD3" w:rsidRPr="00702CD3" w:rsidTr="00264D1B">
        <w:trPr>
          <w:trHeight w:val="240"/>
        </w:trPr>
        <w:tc>
          <w:tcPr>
            <w:tcW w:w="184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Коэффициенты</w:t>
            </w:r>
          </w:p>
        </w:tc>
        <w:tc>
          <w:tcPr>
            <w:tcW w:w="2835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категория (хорошее значение показателя)</w:t>
            </w:r>
          </w:p>
        </w:tc>
        <w:tc>
          <w:tcPr>
            <w:tcW w:w="255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категория (удовлетворительное значение показателя)</w:t>
            </w:r>
          </w:p>
        </w:tc>
        <w:tc>
          <w:tcPr>
            <w:tcW w:w="2551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категория (неудовлетворительное значение показателя)</w:t>
            </w:r>
          </w:p>
        </w:tc>
      </w:tr>
      <w:tr w:rsidR="00702CD3" w:rsidRPr="00702CD3" w:rsidTr="00264D1B">
        <w:trPr>
          <w:trHeight w:val="285"/>
        </w:trPr>
        <w:tc>
          <w:tcPr>
            <w:tcW w:w="184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К1</w:t>
            </w:r>
          </w:p>
        </w:tc>
        <w:tc>
          <w:tcPr>
            <w:tcW w:w="2835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Более 0,2</w:t>
            </w:r>
          </w:p>
        </w:tc>
        <w:tc>
          <w:tcPr>
            <w:tcW w:w="255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0,1 – 0,2</w:t>
            </w:r>
          </w:p>
        </w:tc>
        <w:tc>
          <w:tcPr>
            <w:tcW w:w="2551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Менее 0,1</w:t>
            </w:r>
          </w:p>
        </w:tc>
      </w:tr>
      <w:tr w:rsidR="00702CD3" w:rsidRPr="00702CD3" w:rsidTr="00264D1B">
        <w:trPr>
          <w:trHeight w:val="210"/>
        </w:trPr>
        <w:tc>
          <w:tcPr>
            <w:tcW w:w="184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К2</w:t>
            </w:r>
          </w:p>
        </w:tc>
        <w:tc>
          <w:tcPr>
            <w:tcW w:w="2835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Более 0,8</w:t>
            </w:r>
          </w:p>
        </w:tc>
        <w:tc>
          <w:tcPr>
            <w:tcW w:w="255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0,5 – 0,8</w:t>
            </w:r>
          </w:p>
        </w:tc>
        <w:tc>
          <w:tcPr>
            <w:tcW w:w="2551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Менее 0,5</w:t>
            </w:r>
          </w:p>
        </w:tc>
      </w:tr>
      <w:tr w:rsidR="00702CD3" w:rsidRPr="00702CD3" w:rsidTr="00264D1B">
        <w:trPr>
          <w:trHeight w:val="150"/>
        </w:trPr>
        <w:tc>
          <w:tcPr>
            <w:tcW w:w="184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2835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Более 2,0</w:t>
            </w:r>
          </w:p>
        </w:tc>
        <w:tc>
          <w:tcPr>
            <w:tcW w:w="255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1,0 – 2,0</w:t>
            </w:r>
          </w:p>
        </w:tc>
        <w:tc>
          <w:tcPr>
            <w:tcW w:w="2551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Менее 1,0</w:t>
            </w:r>
          </w:p>
        </w:tc>
      </w:tr>
      <w:tr w:rsidR="00702CD3" w:rsidRPr="00702CD3" w:rsidTr="00264D1B">
        <w:trPr>
          <w:trHeight w:val="150"/>
        </w:trPr>
        <w:tc>
          <w:tcPr>
            <w:tcW w:w="184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К4</w:t>
            </w:r>
          </w:p>
        </w:tc>
        <w:tc>
          <w:tcPr>
            <w:tcW w:w="2835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Более 1,0</w:t>
            </w:r>
          </w:p>
        </w:tc>
        <w:tc>
          <w:tcPr>
            <w:tcW w:w="255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0,7 – 1,0</w:t>
            </w:r>
          </w:p>
        </w:tc>
        <w:tc>
          <w:tcPr>
            <w:tcW w:w="2551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Менее 0,7</w:t>
            </w:r>
          </w:p>
        </w:tc>
      </w:tr>
      <w:tr w:rsidR="00702CD3" w:rsidRPr="00702CD3" w:rsidTr="00702CD3">
        <w:trPr>
          <w:trHeight w:val="667"/>
        </w:trPr>
        <w:tc>
          <w:tcPr>
            <w:tcW w:w="184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К5</w:t>
            </w:r>
          </w:p>
        </w:tc>
        <w:tc>
          <w:tcPr>
            <w:tcW w:w="2835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Более 0,15</w:t>
            </w:r>
          </w:p>
        </w:tc>
        <w:tc>
          <w:tcPr>
            <w:tcW w:w="2552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0,0 – 0,15</w:t>
            </w:r>
          </w:p>
        </w:tc>
        <w:tc>
          <w:tcPr>
            <w:tcW w:w="2551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spacing w:after="0" w:line="240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</w:pPr>
            <w:r w:rsidRPr="00702CD3">
              <w:rPr>
                <w:rFonts w:ascii="Times New Roman" w:eastAsia="Times New Roman" w:hAnsi="Times New Roman" w:cs="Times New Roman"/>
                <w:color w:val="171718"/>
                <w:sz w:val="24"/>
                <w:szCs w:val="24"/>
                <w:lang w:eastAsia="ru-RU"/>
              </w:rPr>
              <w:t>Менее 0,0 (нерентабельное)</w:t>
            </w:r>
          </w:p>
        </w:tc>
      </w:tr>
    </w:tbl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.3. Значение сводной оценки (О) вычисляется по следующей формуле: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w:lastRenderedPageBreak/>
            <m:t>О=Кат.1*Вес1+Кат.2*Вес2+Кат.3*Вес3+Кат.4*Вес4+Кат.5*Вес5</m:t>
          </m:r>
        </m:oMath>
      </m:oMathPara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Весi – вес показателя Кi в сводной оценке (i = l, 2, 3, 4 или 5). Значения весов представлены в таблице 2.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Категорияi – категория, к которой относится значение показателя Кi. (Категорияi = 1,2 или 3).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 Вес показателей, используемые при расчете сводной оценки.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/>
      </w:tblPr>
      <w:tblGrid>
        <w:gridCol w:w="4811"/>
        <w:gridCol w:w="4811"/>
      </w:tblGrid>
      <w:tr w:rsidR="00702CD3" w:rsidRPr="00702CD3" w:rsidTr="00264D1B"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shd w:val="clear" w:color="auto" w:fill="FFFFFF"/>
              <w:ind w:hanging="120"/>
              <w:contextualSpacing/>
              <w:jc w:val="center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Показатель</w:t>
            </w:r>
          </w:p>
        </w:tc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center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Вес показателя</w:t>
            </w:r>
          </w:p>
        </w:tc>
      </w:tr>
      <w:tr w:rsidR="00702CD3" w:rsidRPr="00702CD3" w:rsidTr="00264D1B"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Коэффициент абсолютной ликвидности (К1)</w:t>
            </w:r>
          </w:p>
        </w:tc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0,11</w:t>
            </w:r>
          </w:p>
        </w:tc>
      </w:tr>
      <w:tr w:rsidR="00702CD3" w:rsidRPr="00702CD3" w:rsidTr="00264D1B"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Коэффициент быстрой ликвидности (К2)</w:t>
            </w:r>
          </w:p>
        </w:tc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0,05</w:t>
            </w:r>
          </w:p>
        </w:tc>
      </w:tr>
      <w:tr w:rsidR="00702CD3" w:rsidRPr="00702CD3" w:rsidTr="00264D1B"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Коэффициент текущей ликвидности (К3)</w:t>
            </w:r>
          </w:p>
        </w:tc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0,42</w:t>
            </w:r>
          </w:p>
        </w:tc>
      </w:tr>
      <w:tr w:rsidR="00702CD3" w:rsidRPr="00702CD3" w:rsidTr="00264D1B"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Соотношение собственных и заемных средств (К4)</w:t>
            </w:r>
          </w:p>
        </w:tc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0,21</w:t>
            </w:r>
          </w:p>
        </w:tc>
      </w:tr>
      <w:tr w:rsidR="00702CD3" w:rsidRPr="00702CD3" w:rsidTr="00264D1B"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</w:rPr>
            </w:pPr>
            <w:r w:rsidRPr="00702CD3">
              <w:rPr>
                <w:sz w:val="24"/>
                <w:szCs w:val="24"/>
              </w:rPr>
              <w:t>Коэффициент рентабельности (К5)</w:t>
            </w:r>
          </w:p>
        </w:tc>
        <w:tc>
          <w:tcPr>
            <w:tcW w:w="4811" w:type="dxa"/>
          </w:tcPr>
          <w:p w:rsidR="00702CD3" w:rsidRPr="00702CD3" w:rsidRDefault="00702CD3" w:rsidP="00702CD3">
            <w:pPr>
              <w:widowControl w:val="0"/>
              <w:contextualSpacing/>
              <w:jc w:val="both"/>
              <w:rPr>
                <w:sz w:val="24"/>
                <w:szCs w:val="24"/>
                <w:lang w:val="en-US"/>
              </w:rPr>
            </w:pPr>
            <w:r w:rsidRPr="00702CD3">
              <w:rPr>
                <w:sz w:val="24"/>
                <w:szCs w:val="24"/>
              </w:rPr>
              <w:t>0,21</w:t>
            </w:r>
          </w:p>
        </w:tc>
      </w:tr>
    </w:tbl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 основе значения сводной оценки определяется степень финансового состояния принципала.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состояние принципала может иметь одну из следующих степеней: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хорошая степень финансового состояния – если значение сводной оценки не превышает 1,05;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удовлетворительная степень финансового состояния – если значение сводной оценки больше 1,05, однако, не превышает 2,4;</w:t>
      </w:r>
    </w:p>
    <w:p w:rsidR="00702CD3" w:rsidRPr="00702CD3" w:rsidRDefault="00702CD3" w:rsidP="00702CD3">
      <w:pPr>
        <w:widowControl w:val="0"/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неудовлетворительная степень финансового состояния – если значение сводной оценки больше 2,4.</w:t>
      </w:r>
    </w:p>
    <w:p w:rsidR="00702CD3" w:rsidRDefault="00702CD3" w:rsidP="00702CD3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анализа финансового состояния принципала Финансов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отделом </w:t>
      </w:r>
      <w:r w:rsidRPr="00702CD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составляются соответствующее заключение</w:t>
      </w:r>
      <w:r w:rsidRPr="00702C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1F98" w:rsidRDefault="00521F98" w:rsidP="00702CD3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52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заключения о невозможности предоставления гарантии в течение двух рабочих дней после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анализа финансового состояния принципала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Финансовый отдел</w:t>
      </w:r>
      <w:r w:rsidRPr="00521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соответствующему принципалу письменное уведомление об отказе в предоставлении гарантии с указанием причин отказа.</w:t>
      </w:r>
    </w:p>
    <w:p w:rsidR="00F04DC4" w:rsidRDefault="00F04DC4" w:rsidP="00F04DC4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6.Мониторинг</w:t>
      </w:r>
      <w:r w:rsidRPr="00F04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состояния принципала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4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F04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инансовым 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</w:t>
      </w:r>
      <w:r w:rsidRPr="00F04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предоставления гарантии втечение срока действия предоставленной гарантии ежегодно до прекращенияобязательств по гарантии.</w:t>
      </w:r>
    </w:p>
    <w:p w:rsidR="00873621" w:rsidRPr="00873621" w:rsidRDefault="00873621" w:rsidP="00873621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состояния принципала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производится на основании следующих документов, представляемых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принципалом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инансовый отдел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1 мая текущего года:</w:t>
      </w:r>
    </w:p>
    <w:p w:rsidR="00873621" w:rsidRPr="00873621" w:rsidRDefault="00873621" w:rsidP="00873621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бухгалтерского отчета о деятельности принципала за последний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отчетный год по утвержденным Министерством финансов Российской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формам и пояснительные записки к ним с отметками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территориального налогового органа об их принятии (или с извещением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территориального налогового органа об их принятии в электронном виде);</w:t>
      </w:r>
    </w:p>
    <w:p w:rsidR="00873621" w:rsidRPr="00873621" w:rsidRDefault="00873621" w:rsidP="00CC3EDA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расшифровки дебиторской и кредиторской задолженности на началотекущего года и на конец последнего отчетного периода текущего года суказанием наиболее крупных дебиторов и кредиторов (более пяти процентов от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объема задолженности) и сроков ее погашения;</w:t>
      </w:r>
    </w:p>
    <w:p w:rsidR="00873621" w:rsidRPr="00873621" w:rsidRDefault="00873621" w:rsidP="00873621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нотариально заверенной копии аудиторского заключения о достоверностибухгалтерской отчетности принципала за отчетный год (распространяется наэкономические субъекты, подлежащие в соответствии с законодательством</w:t>
      </w:r>
      <w:r w:rsidR="00CC3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 обязательной ежегодной аудиторской проверке);</w:t>
      </w:r>
    </w:p>
    <w:p w:rsidR="00873621" w:rsidRPr="00873621" w:rsidRDefault="00873621" w:rsidP="00873621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справки налогового органа об отсутствии задолженности принципала поналоговым и иным обязательным платежам в бюджеты всех уровней ивнебюджетные фонды, полученной не ранее чем за 14 дней до даты еепредставления;</w:t>
      </w:r>
    </w:p>
    <w:p w:rsidR="00873621" w:rsidRPr="00873621" w:rsidRDefault="00873621" w:rsidP="00873621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стоимости чистых активов принципала на последнюю отчетнуюдату и на начало текущего года.</w:t>
      </w:r>
    </w:p>
    <w:p w:rsidR="00873621" w:rsidRPr="00702CD3" w:rsidRDefault="00873621" w:rsidP="00873621">
      <w:pPr>
        <w:widowControl w:val="0"/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финансового состояния принципала проводится на основефинансовых показателей в соответствии с </w:t>
      </w:r>
      <w:r w:rsidR="00BC54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8736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84B" w:rsidRDefault="003B384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384B" w:rsidRDefault="003B384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3EDA" w:rsidRDefault="00CC3EDA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3EDA" w:rsidRDefault="00CC3EDA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3EDA" w:rsidRDefault="00CC3EDA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3EDA" w:rsidRDefault="00CC3EDA" w:rsidP="00CC3E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CC3EDA" w:rsidRDefault="00CC3EDA" w:rsidP="00CC3E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Первомайского сельского поселения </w:t>
      </w:r>
    </w:p>
    <w:p w:rsidR="003B384B" w:rsidRPr="00027802" w:rsidRDefault="00CC3EDA" w:rsidP="00CC3ED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sectPr w:rsidR="003B384B" w:rsidRPr="00027802" w:rsidSect="00AA6AC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797" w:rsidRDefault="00483797" w:rsidP="00AA6AC4">
      <w:pPr>
        <w:spacing w:after="0" w:line="240" w:lineRule="auto"/>
      </w:pPr>
      <w:r>
        <w:separator/>
      </w:r>
    </w:p>
  </w:endnote>
  <w:endnote w:type="continuationSeparator" w:id="1">
    <w:p w:rsidR="00483797" w:rsidRDefault="00483797" w:rsidP="00AA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797" w:rsidRDefault="00483797" w:rsidP="00AA6AC4">
      <w:pPr>
        <w:spacing w:after="0" w:line="240" w:lineRule="auto"/>
      </w:pPr>
      <w:r>
        <w:separator/>
      </w:r>
    </w:p>
  </w:footnote>
  <w:footnote w:type="continuationSeparator" w:id="1">
    <w:p w:rsidR="00483797" w:rsidRDefault="00483797" w:rsidP="00AA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10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6AC4" w:rsidRPr="00AA6AC4" w:rsidRDefault="000D735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6A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A6AC4" w:rsidRPr="00AA6A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6A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C3ED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A6A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6AC4" w:rsidRDefault="00AA6A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7CD"/>
    <w:rsid w:val="00025405"/>
    <w:rsid w:val="00027802"/>
    <w:rsid w:val="000D735A"/>
    <w:rsid w:val="003217CD"/>
    <w:rsid w:val="003B384B"/>
    <w:rsid w:val="004447F6"/>
    <w:rsid w:val="00483797"/>
    <w:rsid w:val="00521F98"/>
    <w:rsid w:val="005D392B"/>
    <w:rsid w:val="00702CD3"/>
    <w:rsid w:val="00795AF3"/>
    <w:rsid w:val="00810F8A"/>
    <w:rsid w:val="00823BAC"/>
    <w:rsid w:val="00873621"/>
    <w:rsid w:val="00A25F2B"/>
    <w:rsid w:val="00AA06F5"/>
    <w:rsid w:val="00AA6AC4"/>
    <w:rsid w:val="00AF16EB"/>
    <w:rsid w:val="00BC54DB"/>
    <w:rsid w:val="00C31D33"/>
    <w:rsid w:val="00C9344E"/>
    <w:rsid w:val="00CC3EDA"/>
    <w:rsid w:val="00E27D89"/>
    <w:rsid w:val="00F04DC4"/>
    <w:rsid w:val="00F66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6AC4"/>
  </w:style>
  <w:style w:type="paragraph" w:styleId="a5">
    <w:name w:val="footer"/>
    <w:basedOn w:val="a"/>
    <w:link w:val="a6"/>
    <w:uiPriority w:val="99"/>
    <w:unhideWhenUsed/>
    <w:rsid w:val="00AA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6AC4"/>
  </w:style>
  <w:style w:type="paragraph" w:styleId="a7">
    <w:name w:val="List Paragraph"/>
    <w:basedOn w:val="a"/>
    <w:uiPriority w:val="34"/>
    <w:qFormat/>
    <w:rsid w:val="00702CD3"/>
    <w:pPr>
      <w:ind w:left="720"/>
      <w:contextualSpacing/>
    </w:pPr>
  </w:style>
  <w:style w:type="table" w:styleId="a8">
    <w:name w:val="Table Grid"/>
    <w:basedOn w:val="a1"/>
    <w:rsid w:val="00702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C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3E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1364</Words>
  <Characters>7779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Юрьевич Федорченко</dc:creator>
  <cp:keywords/>
  <dc:description/>
  <cp:lastModifiedBy>111</cp:lastModifiedBy>
  <cp:revision>18</cp:revision>
  <dcterms:created xsi:type="dcterms:W3CDTF">2021-04-15T08:12:00Z</dcterms:created>
  <dcterms:modified xsi:type="dcterms:W3CDTF">2021-12-13T12:51:00Z</dcterms:modified>
</cp:coreProperties>
</file>